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568" w:rsidRDefault="007A7568"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p>
    <w:p w:rsidR="007A7568" w:rsidRDefault="007A7568"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p>
    <w:p w:rsidR="00222930" w:rsidRDefault="00222930"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r w:rsidRPr="007A7568">
        <w:rPr>
          <w:rFonts w:ascii="Arial" w:eastAsia="Times New Roman" w:hAnsi="Arial" w:cs="Arial"/>
          <w:bCs/>
          <w:color w:val="222222"/>
          <w:sz w:val="24"/>
          <w:szCs w:val="24"/>
          <w:lang w:eastAsia="es-MX"/>
        </w:rPr>
        <w:t>POLÍTICAS GENERALES</w:t>
      </w:r>
    </w:p>
    <w:p w:rsidR="007A7568" w:rsidRPr="007A7568" w:rsidRDefault="007A7568" w:rsidP="007A7568">
      <w:pPr>
        <w:shd w:val="clear" w:color="auto" w:fill="FFFFFF"/>
        <w:spacing w:after="0" w:line="240" w:lineRule="auto"/>
        <w:jc w:val="center"/>
        <w:outlineLvl w:val="3"/>
        <w:rPr>
          <w:rFonts w:ascii="Arial" w:eastAsia="Times New Roman" w:hAnsi="Arial" w:cs="Arial"/>
          <w:bCs/>
          <w:color w:val="222222"/>
          <w:sz w:val="12"/>
          <w:szCs w:val="12"/>
          <w:lang w:eastAsia="es-MX"/>
        </w:rPr>
      </w:pP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Concebir la inversión extranjera como una fuente de desarrollo económico para el país a corto, mediano y largo plazos. Su atracción debe plantearse como objetivos el acceso a tecnologías de avanzada, la captación de métodos gerenciales, la diversificación y ampliación de los mercados de exportación, la sustitución de importaciones, el acceso a financiamiento externo, la creación de nuevas fuentes de empleo y la captación de mayores ingresos a partir de los encadenamientos productivos con la economía nacional.</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Captar nuevos métodos gerenciales que contribuyan al posicionamiento en el mercado, al incremento de la productividad y la rentabilidad, a la eficiencia de procesos inversionistas complejos y a su asimilación por el resto de la economía.</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Priorizar, de manera inmediata, la inversión extranjera dirigida a la sustitución de importaciones de alimentos.</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Incentivar el desarrollo de proyectos integrales que generen encadenamientos productivos para la búsqueda de eficiencia colectiva. Estos proyectos podrán ser ejecutados con un mismo inversionista o con varios que posean ese interés común.</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En correspondencia con la dinámica demográfica del país, la inversión extranjera debe permitir el acceso a tecnologías de avanzada que eleven la productividad y permitan hacer un uso eficiente de la fuerza de trabajo.</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Contribuir al cambio de la matriz energética del país mediante el aprovechamiento de fuentes renovables de energía, con la utilización de las energías solar y eólica y de los residuos agroindustriales, tales como: la biomasa cañera, forestal y el marabú, y la generación de energía hidráulica y de biogás.</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Considerar la participación de capital extranjero en la complementación de proyectos nacionales de desarrollo científico y tecnológico, preservando la propiedad intelectual sobre los resultados que se obtengan, especialmente marcas y patentes creadas por la parte cubana.</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Considerar la inversión extranjera en determinados sectores y actividades económicas como un elemento activo y fundamental para el crecimiento.</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Considerar sectores priorizados la producción agrícola y la industria alimentaria; el turismo –incluido el de salud–; el desarrollo de fuentes de energía, especialmente las renovables; la exploración y explotación de hidrocarburos y recursos mineros; y la construcción o mejoramiento de infraestructuras industriales.</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 xml:space="preserve">Orientar la mayor parte de la inversión extranjera hacia sectores de exportación. Adicionalmente, dirigirla a eliminar los “cuellos de botella” en la cadena productiva, favoreciendo la modernización, infraestructura y el cambio del patrón </w:t>
      </w:r>
      <w:r w:rsidRPr="007A7568">
        <w:rPr>
          <w:rFonts w:ascii="Arial" w:eastAsia="Times New Roman" w:hAnsi="Arial" w:cs="Arial"/>
          <w:color w:val="222222"/>
          <w:lang w:eastAsia="es-MX"/>
        </w:rPr>
        <w:lastRenderedPageBreak/>
        <w:t>tecnológico en la economía, así como garantizar la satisfacción eficiente de las necesidades del país con el objetivo de sustituir importaciones.</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Promover la inversión extranjera sobre la base de una amplia y diversa Cartera de Proyectos. Enfocar la promoción por etapas y sectores o actividades potenciales, y favorecer la diversificación en la participación de empresarios de diferentes países. Priorizar la promoción de forma masiva para las zonas especiales de desarrollo, iniciando los trabajos por la ZED Mariel.</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Considerar actividades priorizadas las que impliquen transferencia de tecnología, encadenamientos productivos, se realicen en zonas de menor desarrollo económico o contribuyan a elevar la eficiencia de la cadena productiva.</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En la extracción de recursos naturales, la prestación de servicios públicos, la participación cubana será siempre mayoritaria.</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Introducir entre los requisitos para la aprobación de los negocios con inversión extranjera, criterios que proyecten en el tiempo el efecto en la balanza de pagos, considerando este elemento entre los indicadores decisivos para su aprobación.</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En los negocios con inversión extranjera no habrá libre contratación de la fuerza de trabajo, salvo las excepciones previstas en la Ley. Se mantendrá la figura de la entidad empleadora como organización empresarial y tendrán como objetivo suministrar y controlar la fuerza de trabajo. </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El salario se condicionará al trabajo aportado, a la eficiencia y al valor agregado que la empresa genere. El pago del servicio de fuerza de trabajo se negocia entre la entidad empleadora y la empresa con capital extranjero, a partir de lo establecido por el Ministerio de Trabajo y Seguridad Social.</w:t>
      </w:r>
    </w:p>
    <w:p w:rsidR="00222930" w:rsidRPr="007A7568" w:rsidRDefault="00222930" w:rsidP="007A7568">
      <w:pPr>
        <w:numPr>
          <w:ilvl w:val="0"/>
          <w:numId w:val="3"/>
        </w:numPr>
        <w:shd w:val="clear" w:color="auto" w:fill="FFFFFF"/>
        <w:spacing w:after="0" w:line="240" w:lineRule="auto"/>
        <w:ind w:left="0"/>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Eliminar las concepciones de las escalas salariales y establecer un salario mínimo. Los trabajadores contratados percibirán un salario superior al mínimo que se establezca.</w:t>
      </w:r>
    </w:p>
    <w:p w:rsidR="00222930" w:rsidRPr="007A7568" w:rsidRDefault="00222930" w:rsidP="007A7568">
      <w:pPr>
        <w:shd w:val="clear" w:color="auto" w:fill="FFFFFF"/>
        <w:spacing w:after="0" w:line="240" w:lineRule="auto"/>
        <w:rPr>
          <w:rFonts w:ascii="Arial" w:eastAsia="Times New Roman" w:hAnsi="Arial" w:cs="Arial"/>
          <w:color w:val="555555"/>
          <w:sz w:val="12"/>
          <w:szCs w:val="12"/>
          <w:lang w:eastAsia="es-MX"/>
        </w:rPr>
      </w:pP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La inversión extranjera podrá dirigirse al desarrollo de las formas de propiedad no estatal que clasifiquen como personas jurídicas.</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No se transferirán en propiedad bienes estatales, salvo en los casos excepcionales en que se destinen a los fines de desarrollo del país y no afecten los fundamentos políticos, sociales y económicos del Estado. </w:t>
      </w:r>
    </w:p>
    <w:p w:rsidR="007A7568" w:rsidRDefault="007A7568" w:rsidP="007A7568">
      <w:pPr>
        <w:shd w:val="clear" w:color="auto" w:fill="FFFFFF"/>
        <w:spacing w:after="0" w:line="240" w:lineRule="auto"/>
        <w:jc w:val="both"/>
        <w:outlineLvl w:val="3"/>
        <w:rPr>
          <w:rFonts w:ascii="Arial" w:eastAsia="Times New Roman" w:hAnsi="Arial" w:cs="Arial"/>
          <w:color w:val="222222"/>
          <w:lang w:eastAsia="es-MX"/>
        </w:rPr>
      </w:pP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lang w:eastAsia="es-MX"/>
        </w:rPr>
      </w:pPr>
    </w:p>
    <w:p w:rsidR="007A7568" w:rsidRDefault="007A7568" w:rsidP="007A7568">
      <w:pPr>
        <w:shd w:val="clear" w:color="auto" w:fill="FFFFFF"/>
        <w:spacing w:after="0" w:line="240" w:lineRule="auto"/>
        <w:jc w:val="both"/>
        <w:outlineLvl w:val="3"/>
        <w:rPr>
          <w:rFonts w:ascii="Arial" w:eastAsia="Times New Roman" w:hAnsi="Arial" w:cs="Arial"/>
          <w:color w:val="222222"/>
          <w:lang w:eastAsia="es-MX"/>
        </w:rPr>
      </w:pP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No otorgar derechos de exclusividad sobre el mercado cubano; el socio extranjero, en igualdad de condiciones con terceros, podrá ser suministrador y cliente del negocio.</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7A7568"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lastRenderedPageBreak/>
        <w:t>En los proyectos que contemplen la exportación de bienes o servicios, la parte extranjera garantizará el mercado.</w:t>
      </w:r>
    </w:p>
    <w:p w:rsidR="00222930" w:rsidRPr="007A7568" w:rsidRDefault="00222930" w:rsidP="007A7568">
      <w:pPr>
        <w:shd w:val="clear" w:color="auto" w:fill="FFFFFF"/>
        <w:spacing w:after="0" w:line="240" w:lineRule="auto"/>
        <w:jc w:val="both"/>
        <w:outlineLvl w:val="3"/>
        <w:rPr>
          <w:rFonts w:ascii="Arial" w:eastAsia="Times New Roman" w:hAnsi="Arial" w:cs="Arial"/>
          <w:color w:val="222222"/>
          <w:sz w:val="12"/>
          <w:szCs w:val="12"/>
          <w:lang w:eastAsia="es-MX"/>
        </w:rPr>
      </w:pPr>
      <w:r w:rsidRPr="007A7568">
        <w:rPr>
          <w:rFonts w:ascii="Arial" w:eastAsia="Times New Roman" w:hAnsi="Arial" w:cs="Arial"/>
          <w:color w:val="222222"/>
          <w:sz w:val="12"/>
          <w:szCs w:val="12"/>
          <w:lang w:eastAsia="es-MX"/>
        </w:rPr>
        <w:t>.</w:t>
      </w: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El déficit de la capacidad constructiva del país no puede frenar el desarrollo del proceso inversionista con capital extranjero. Podrán evaluarse las alternativas que se requieran para evitarlo, incluso la contratación de fuerza de trabajo extranjera.</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Licitar los servicios de diseño y construcción entre empresas extranjeras y cubanas cuando las inversiones, por su complejidad, lo requieran, según lo regulado en las legislaciones vigentes sobre el proceso inversionista en el país.</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Autorizar el establecimiento de Empresas de Capital Totalmente Extranjero para la ejecución de inversiones cuya complejidad e importancia lo requieran, especialmente para el desarrollo de la infraestructura industrial a través de contratos especiales llave en mano, tales como: Contrato de Ingeniería, Procura y Construcción (IPC), Contrato de Ingeniería, Procura y Dirección de la Construcción (IPCM), Contrato de Construcción, Propiedad, Operación y Transferencia (BOOT), Contrato de Construcción, Transferencia y Operación (BTO).</w:t>
      </w:r>
    </w:p>
    <w:p w:rsidR="00222930" w:rsidRPr="007A7568"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No aceptar garantías externas que comprometan la retención de flujos cubanos en bancos en el exterior.</w:t>
      </w: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Cualquier incremento que se produzca en el presupuesto de la inversión, será asumido por la asociación económica internacional.</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Las inversiones en infraestructuras, inducidas directas e indirectas, podrán ejecutarse bajo modalidades de inversión extranjera con financiamiento a largo plazo. Se priorizarán las asociadas al desarrollo del turismo.</w:t>
      </w: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Las modalidades de inversión extranjera que se establezcan en Cuba deben ser capaces de garantizar su sostenibilidad desde el punto de vista de la liquidez en divisas, mediante la atracción de flujos financieros externos, la generación de ingresos por exportaciones y el encadenamiento productivo con actividades exportadoras. Se considerarán excepcionalmente aquellos dirigidos a la sustitución efectiva de importaciones en sectores estratégicos de la economía, como la producción de alimentos y el desarrollo de las fuentes renovables de energía.</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Default="00222930" w:rsidP="007A7568">
      <w:pPr>
        <w:shd w:val="clear" w:color="auto" w:fill="FFFFFF"/>
        <w:spacing w:after="0" w:line="240" w:lineRule="auto"/>
        <w:jc w:val="both"/>
        <w:outlineLvl w:val="3"/>
        <w:rPr>
          <w:rFonts w:ascii="Arial" w:eastAsia="Times New Roman" w:hAnsi="Arial" w:cs="Arial"/>
          <w:color w:val="222222"/>
          <w:lang w:eastAsia="es-MX"/>
        </w:rPr>
      </w:pPr>
      <w:r w:rsidRPr="007A7568">
        <w:rPr>
          <w:rFonts w:ascii="Arial" w:eastAsia="Times New Roman" w:hAnsi="Arial" w:cs="Arial"/>
          <w:color w:val="222222"/>
          <w:lang w:eastAsia="es-MX"/>
        </w:rPr>
        <w:t>Se potenciarán negocios de menor alcance y montos de inversión que tengan un marcado carácter exportador o se encadenen con producciones de bienes y servicios para la exportación, así como que tributen al desarrollo local.</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jc w:val="both"/>
        <w:outlineLvl w:val="3"/>
        <w:rPr>
          <w:rFonts w:ascii="Arial" w:eastAsia="Times New Roman" w:hAnsi="Arial" w:cs="Arial"/>
          <w:b/>
          <w:bCs/>
          <w:color w:val="222222"/>
          <w:sz w:val="24"/>
          <w:szCs w:val="24"/>
          <w:lang w:eastAsia="es-MX"/>
        </w:rPr>
      </w:pPr>
      <w:r w:rsidRPr="007A7568">
        <w:rPr>
          <w:rFonts w:ascii="Arial" w:eastAsia="Times New Roman" w:hAnsi="Arial" w:cs="Arial"/>
          <w:color w:val="222222"/>
          <w:lang w:eastAsia="es-MX"/>
        </w:rPr>
        <w:t>En los proyectos con capital extranjero se deberán incorporar, siempre que sea posible, tecnologías que tributen a aprovechar las fuentes renovables de energía.</w:t>
      </w:r>
    </w:p>
    <w:p w:rsidR="00222930" w:rsidRPr="007A7568" w:rsidRDefault="00222930" w:rsidP="007A7568">
      <w:pPr>
        <w:shd w:val="clear" w:color="auto" w:fill="FFFFFF"/>
        <w:spacing w:after="0" w:line="240" w:lineRule="auto"/>
        <w:jc w:val="both"/>
        <w:outlineLvl w:val="3"/>
        <w:rPr>
          <w:rFonts w:ascii="Arial" w:eastAsia="Times New Roman" w:hAnsi="Arial" w:cs="Arial"/>
          <w:b/>
          <w:bCs/>
          <w:color w:val="222222"/>
          <w:sz w:val="12"/>
          <w:szCs w:val="12"/>
          <w:lang w:eastAsia="es-MX"/>
        </w:rPr>
      </w:pPr>
    </w:p>
    <w:p w:rsidR="00222930" w:rsidRDefault="00222930"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r w:rsidRPr="007A7568">
        <w:rPr>
          <w:rFonts w:ascii="Arial" w:eastAsia="Times New Roman" w:hAnsi="Arial" w:cs="Arial"/>
          <w:bCs/>
          <w:color w:val="222222"/>
          <w:sz w:val="24"/>
          <w:szCs w:val="24"/>
          <w:lang w:eastAsia="es-MX"/>
        </w:rPr>
        <w:t>Política sectorial (TURISMO)</w:t>
      </w:r>
    </w:p>
    <w:p w:rsidR="007A7568" w:rsidRPr="007A7568" w:rsidRDefault="007A7568" w:rsidP="007A7568">
      <w:pPr>
        <w:shd w:val="clear" w:color="auto" w:fill="FFFFFF"/>
        <w:spacing w:after="0" w:line="240" w:lineRule="auto"/>
        <w:jc w:val="center"/>
        <w:outlineLvl w:val="3"/>
        <w:rPr>
          <w:rFonts w:ascii="Arial" w:eastAsia="Times New Roman" w:hAnsi="Arial" w:cs="Arial"/>
          <w:color w:val="222222"/>
          <w:sz w:val="12"/>
          <w:szCs w:val="12"/>
          <w:lang w:eastAsia="es-MX"/>
        </w:rPr>
      </w:pPr>
    </w:p>
    <w:p w:rsidR="00222930" w:rsidRDefault="00222930" w:rsidP="007A7568">
      <w:pPr>
        <w:shd w:val="clear" w:color="auto" w:fill="FFFFFF"/>
        <w:spacing w:after="0" w:line="240" w:lineRule="auto"/>
        <w:ind w:right="600"/>
        <w:jc w:val="both"/>
        <w:rPr>
          <w:rFonts w:ascii="Arial" w:eastAsia="Times New Roman" w:hAnsi="Arial" w:cs="Arial"/>
          <w:color w:val="555555"/>
          <w:lang w:eastAsia="es-MX"/>
        </w:rPr>
      </w:pPr>
      <w:r w:rsidRPr="007A7568">
        <w:rPr>
          <w:rFonts w:ascii="Arial" w:eastAsia="Times New Roman" w:hAnsi="Arial" w:cs="Arial"/>
          <w:color w:val="555555"/>
          <w:lang w:eastAsia="es-MX"/>
        </w:rPr>
        <w:t>Promover como modalidades de inversión extranjera la empresa mixta y los contratos de asociación económica internacional, entre los que se encuentran los contratos de comercialización y administración hotelera y los contratos para la administración de servicios. Vinculados a estas modalidades, se podrán desarrollar modelos de negocios utilizados internacionalmente en el sector como los contratos de franquicia de marcas de reconocido prestigio internacional y contratos de arrendamientos de instalaciones turísticas. Desarrollar la actividad hotelera a través de la construcción o restauración de instalaciones de alojamiento existentes u otras edificaciones que se adecuen con este fin. Los proyectos que así lo requieran pueden incluir el desarrollo de sus infraestructuras complementarias. Promover el desarrollo inmobiliario asociado al turismo (campos de golf y marinas de propiedad totalmente cubana) y la construcción de parques temáticos que incorporen la utilización de alta tecnología. Excepcionalmente podrán evaluarse contratos de administración de servicios con financiamiento para la actividad de gastronomía, así como contratos de arrendamiento y concesión de marinas. Diversificar la administración y comercialización de las instalaciones turísticas por cadenas extranjeras reconocidas. Incrementar el desarrollo de productos de bienestar, salud y calidad de vida. Desarrollar proyectos vinculados a los productos de naturaleza, incluidos los campismos de alto estándar. Priorizar el desarrollo turístico en las zonas de Cienfuegos; Playa Santa Lucía, al norte de Camagüey; Covarrubias, al norte de Las Tunas; y Guardalavaca, al norte de Holguín. Excluir el establecimiento de negocios con capital extranjero en la modalidad de empresa mixta en Varadero, el Centro Histórico de La Habana y la cayería del país, así como el desarrollo con inversión extranjera de actividades relacionadas con los delfinarios.</w:t>
      </w:r>
    </w:p>
    <w:p w:rsidR="007A7568" w:rsidRDefault="007A7568" w:rsidP="007A7568">
      <w:pPr>
        <w:shd w:val="clear" w:color="auto" w:fill="FFFFFF"/>
        <w:spacing w:after="0" w:line="240" w:lineRule="auto"/>
        <w:ind w:right="600"/>
        <w:jc w:val="both"/>
        <w:rPr>
          <w:rFonts w:ascii="Arial" w:eastAsia="Times New Roman" w:hAnsi="Arial" w:cs="Arial"/>
          <w:color w:val="555555"/>
          <w:lang w:eastAsia="es-MX"/>
        </w:rPr>
      </w:pPr>
    </w:p>
    <w:p w:rsidR="007A7568" w:rsidRDefault="007A7568" w:rsidP="007A7568">
      <w:pPr>
        <w:shd w:val="clear" w:color="auto" w:fill="FFFFFF"/>
        <w:spacing w:after="0" w:line="240" w:lineRule="auto"/>
        <w:ind w:right="600"/>
        <w:jc w:val="both"/>
        <w:rPr>
          <w:rFonts w:ascii="Arial" w:eastAsia="Times New Roman" w:hAnsi="Arial" w:cs="Arial"/>
          <w:color w:val="555555"/>
          <w:lang w:eastAsia="es-MX"/>
        </w:rPr>
      </w:pPr>
    </w:p>
    <w:p w:rsidR="007A7568" w:rsidRPr="007A7568" w:rsidRDefault="007A7568" w:rsidP="007A7568">
      <w:pPr>
        <w:shd w:val="clear" w:color="auto" w:fill="FFFFFF"/>
        <w:spacing w:after="0" w:line="240" w:lineRule="auto"/>
        <w:ind w:right="600"/>
        <w:jc w:val="both"/>
        <w:rPr>
          <w:rFonts w:ascii="Arial" w:eastAsia="Times New Roman" w:hAnsi="Arial" w:cs="Arial"/>
          <w:color w:val="555555"/>
          <w:sz w:val="12"/>
          <w:szCs w:val="12"/>
          <w:lang w:eastAsia="es-MX"/>
        </w:rPr>
      </w:pPr>
    </w:p>
    <w:p w:rsidR="00222930" w:rsidRDefault="00222930"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r w:rsidRPr="007A7568">
        <w:rPr>
          <w:rFonts w:ascii="Arial" w:eastAsia="Times New Roman" w:hAnsi="Arial" w:cs="Arial"/>
          <w:bCs/>
          <w:color w:val="222222"/>
          <w:sz w:val="24"/>
          <w:szCs w:val="24"/>
          <w:lang w:eastAsia="es-MX"/>
        </w:rPr>
        <w:t>Información sectorial</w:t>
      </w:r>
    </w:p>
    <w:p w:rsidR="007A7568" w:rsidRPr="007A7568" w:rsidRDefault="007A7568" w:rsidP="007A7568">
      <w:pPr>
        <w:shd w:val="clear" w:color="auto" w:fill="FFFFFF"/>
        <w:spacing w:after="0" w:line="240" w:lineRule="auto"/>
        <w:jc w:val="center"/>
        <w:outlineLvl w:val="3"/>
        <w:rPr>
          <w:rFonts w:ascii="Arial" w:eastAsia="Times New Roman" w:hAnsi="Arial" w:cs="Arial"/>
          <w:color w:val="222222"/>
          <w:sz w:val="12"/>
          <w:szCs w:val="12"/>
          <w:lang w:eastAsia="es-MX"/>
        </w:rPr>
      </w:pPr>
    </w:p>
    <w:p w:rsidR="007A7568" w:rsidRDefault="00222930" w:rsidP="007A7568">
      <w:pPr>
        <w:shd w:val="clear" w:color="auto" w:fill="FFFFFF"/>
        <w:spacing w:after="0" w:line="240" w:lineRule="auto"/>
        <w:ind w:right="600"/>
        <w:jc w:val="both"/>
        <w:rPr>
          <w:rFonts w:ascii="Arial" w:eastAsia="Times New Roman" w:hAnsi="Arial" w:cs="Arial"/>
          <w:color w:val="555555"/>
          <w:sz w:val="24"/>
          <w:szCs w:val="24"/>
          <w:lang w:eastAsia="es-MX"/>
        </w:rPr>
      </w:pPr>
      <w:r w:rsidRPr="007A7568">
        <w:rPr>
          <w:rFonts w:ascii="Arial" w:eastAsia="Times New Roman" w:hAnsi="Arial" w:cs="Arial"/>
          <w:color w:val="555555"/>
          <w:lang w:eastAsia="es-MX"/>
        </w:rPr>
        <w:t>Cuba cuenta, como ningún otro destino del Caribe, con un producto turístico caracterizado por la hospitalidad popular, excepcionales atractivos naturales, un patrimonio histórico autóctono, prolífica vida artística y cultural, un desarrollo sanitario único, estabilidad política y seguridad para los turistas. El portal del turismo en Cuba (www.cubatravel.cu) brinda detalles precisos de los atractivos, productos, modalidades y alojamientos, entre otras informaciones</w:t>
      </w:r>
      <w:r w:rsidRPr="007A7568">
        <w:rPr>
          <w:rFonts w:ascii="Arial" w:eastAsia="Times New Roman" w:hAnsi="Arial" w:cs="Arial"/>
          <w:color w:val="555555"/>
          <w:sz w:val="24"/>
          <w:szCs w:val="24"/>
          <w:lang w:eastAsia="es-MX"/>
        </w:rPr>
        <w:t xml:space="preserve"> del turismo cubano. Canadá se mantiene como primer mercado emisor de turistas que visitan la Isla.</w:t>
      </w:r>
    </w:p>
    <w:p w:rsidR="007A7568" w:rsidRPr="007A7568" w:rsidRDefault="007A7568" w:rsidP="007A7568">
      <w:pPr>
        <w:shd w:val="clear" w:color="auto" w:fill="FFFFFF"/>
        <w:spacing w:after="0" w:line="240" w:lineRule="auto"/>
        <w:ind w:right="600"/>
        <w:jc w:val="both"/>
        <w:rPr>
          <w:rFonts w:ascii="Arial" w:eastAsia="Times New Roman" w:hAnsi="Arial" w:cs="Arial"/>
          <w:bCs/>
          <w:color w:val="222222"/>
          <w:sz w:val="12"/>
          <w:szCs w:val="12"/>
          <w:lang w:eastAsia="es-MX"/>
        </w:rPr>
      </w:pPr>
      <w:bookmarkStart w:id="0" w:name="_GoBack"/>
    </w:p>
    <w:bookmarkEnd w:id="0"/>
    <w:p w:rsidR="00222930" w:rsidRDefault="00222930"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r w:rsidRPr="007A7568">
        <w:rPr>
          <w:rFonts w:ascii="Arial" w:eastAsia="Times New Roman" w:hAnsi="Arial" w:cs="Arial"/>
          <w:bCs/>
          <w:color w:val="222222"/>
          <w:sz w:val="24"/>
          <w:szCs w:val="24"/>
          <w:lang w:eastAsia="es-MX"/>
        </w:rPr>
        <w:t>Política sectorial (CULTURA)</w:t>
      </w:r>
    </w:p>
    <w:p w:rsidR="007A7568" w:rsidRPr="007A7568" w:rsidRDefault="007A7568" w:rsidP="007A7568">
      <w:pPr>
        <w:shd w:val="clear" w:color="auto" w:fill="FFFFFF"/>
        <w:spacing w:after="0" w:line="240" w:lineRule="auto"/>
        <w:jc w:val="center"/>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ind w:right="600"/>
        <w:jc w:val="both"/>
        <w:rPr>
          <w:rFonts w:ascii="Arial" w:eastAsia="Times New Roman" w:hAnsi="Arial" w:cs="Arial"/>
          <w:color w:val="555555"/>
          <w:lang w:eastAsia="es-MX"/>
        </w:rPr>
      </w:pPr>
      <w:r w:rsidRPr="007A7568">
        <w:rPr>
          <w:rFonts w:ascii="Arial" w:eastAsia="Times New Roman" w:hAnsi="Arial" w:cs="Arial"/>
          <w:color w:val="555555"/>
          <w:lang w:eastAsia="es-MX"/>
        </w:rPr>
        <w:t>La inversión extranjera en el sector de la cultura se orienta al desarrollo y diversificación de la producción y prestación de bienes y servicios culturales, a fin de potenciar y ampliar los canales de comercialización y mercados de exportación del producto cultural cubano y el turismo cultural, el fomento de sistemas logísticos para el desarrollo de las industrias culturales y creativa cubana, así como el acceso a tecnologías de avanzada para el impulso y expansión de la producción y comercialización cinematográfica, musical, de espectáculos, de las artes visuales, aplicadas y de las industrias culturales en general. En este sector la parte cubana define el contenido de los productos y servicios culturales a desarrollar. Se excluye el establecimiento de empresas de capital totalmente extranjero en los canales de distribución de los productos y servicios culturales en el mercado nacional.</w:t>
      </w:r>
    </w:p>
    <w:p w:rsidR="007A7568" w:rsidRPr="007A7568" w:rsidRDefault="007A7568" w:rsidP="007A7568">
      <w:pPr>
        <w:shd w:val="clear" w:color="auto" w:fill="FFFFFF"/>
        <w:spacing w:after="0" w:line="240" w:lineRule="auto"/>
        <w:ind w:right="600"/>
        <w:jc w:val="both"/>
        <w:rPr>
          <w:rFonts w:ascii="Arial" w:eastAsia="Times New Roman" w:hAnsi="Arial" w:cs="Arial"/>
          <w:color w:val="555555"/>
          <w:sz w:val="12"/>
          <w:szCs w:val="12"/>
          <w:lang w:eastAsia="es-MX"/>
        </w:rPr>
      </w:pPr>
    </w:p>
    <w:p w:rsidR="00222930" w:rsidRDefault="00222930" w:rsidP="007A7568">
      <w:pPr>
        <w:shd w:val="clear" w:color="auto" w:fill="FFFFFF"/>
        <w:spacing w:after="0" w:line="240" w:lineRule="auto"/>
        <w:jc w:val="center"/>
        <w:outlineLvl w:val="3"/>
        <w:rPr>
          <w:rFonts w:ascii="Arial" w:eastAsia="Times New Roman" w:hAnsi="Arial" w:cs="Arial"/>
          <w:bCs/>
          <w:color w:val="222222"/>
          <w:sz w:val="24"/>
          <w:szCs w:val="24"/>
          <w:lang w:eastAsia="es-MX"/>
        </w:rPr>
      </w:pPr>
      <w:r w:rsidRPr="007A7568">
        <w:rPr>
          <w:rFonts w:ascii="Arial" w:eastAsia="Times New Roman" w:hAnsi="Arial" w:cs="Arial"/>
          <w:bCs/>
          <w:color w:val="222222"/>
          <w:sz w:val="24"/>
          <w:szCs w:val="24"/>
          <w:lang w:eastAsia="es-MX"/>
        </w:rPr>
        <w:t>Información sectorial</w:t>
      </w:r>
    </w:p>
    <w:p w:rsidR="007A7568" w:rsidRPr="007A7568" w:rsidRDefault="007A7568" w:rsidP="007A7568">
      <w:pPr>
        <w:shd w:val="clear" w:color="auto" w:fill="FFFFFF"/>
        <w:spacing w:after="0" w:line="240" w:lineRule="auto"/>
        <w:jc w:val="center"/>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ind w:right="600"/>
        <w:jc w:val="both"/>
        <w:rPr>
          <w:rFonts w:ascii="Arial" w:eastAsia="Times New Roman" w:hAnsi="Arial" w:cs="Arial"/>
          <w:color w:val="555555"/>
          <w:lang w:eastAsia="es-MX"/>
        </w:rPr>
      </w:pPr>
      <w:r w:rsidRPr="007A7568">
        <w:rPr>
          <w:rFonts w:ascii="Arial" w:eastAsia="Times New Roman" w:hAnsi="Arial" w:cs="Arial"/>
          <w:color w:val="555555"/>
          <w:lang w:eastAsia="es-MX"/>
        </w:rPr>
        <w:t>El sector de la cultura cuenta con 28 empresas que brindan sus producciones y servicios en las diferentes manifestaciones del arte y los espectáculos: artes plásticas, editoriales, artes escénicas, las industrias de la música, la cinematográfica y la de audiovisuales, y las industrias creativas que promueven y comercializan la obra de miles de creadores de las artes plásticas y aplicadas y los artesanos en sentido general. Cuenta además con empresas de servicios técnicos y de construcción y montaje, que garantizan el mantenimiento e inversiones de sus instalaciones. El sistema de la cultura cubana desarrolla anualmente disímiles eventos culturales –ferias, talleres, festivales–, encuentros entre creadores y sus públicos que les permiten a los visitantes conocer la inmensa riqueza de la cultura cubana. Entre los principales eventos que se desarrollan están: la Feria Internacional del Libro, el Festival Internacional del Nuevo Cine Latinoamericano, el Festival Internacional de Ballet Alicia Alonso, el Festival Internacional de Jazz Latino - Jazz Plaza, la Bienal de La Habana, el Festival del Caribe - Fiesta del Fuego, la Feria Internacional de Artesanía de La Habana - Fiart y el Festival Cubadisco, entre otros.</w:t>
      </w:r>
    </w:p>
    <w:p w:rsidR="007A7568" w:rsidRPr="007A7568" w:rsidRDefault="007A7568" w:rsidP="007A7568">
      <w:pPr>
        <w:shd w:val="clear" w:color="auto" w:fill="FFFFFF"/>
        <w:spacing w:after="0" w:line="240" w:lineRule="auto"/>
        <w:ind w:right="600"/>
        <w:jc w:val="both"/>
        <w:rPr>
          <w:rFonts w:ascii="Arial" w:eastAsia="Times New Roman" w:hAnsi="Arial" w:cs="Arial"/>
          <w:color w:val="555555"/>
          <w:sz w:val="12"/>
          <w:szCs w:val="12"/>
          <w:lang w:eastAsia="es-MX"/>
        </w:rPr>
      </w:pPr>
    </w:p>
    <w:p w:rsidR="00222930" w:rsidRDefault="00222930" w:rsidP="007A7568">
      <w:pPr>
        <w:shd w:val="clear" w:color="auto" w:fill="FFFFFF"/>
        <w:spacing w:after="0" w:line="240" w:lineRule="auto"/>
        <w:jc w:val="center"/>
        <w:outlineLvl w:val="3"/>
        <w:rPr>
          <w:rFonts w:ascii="Arial" w:eastAsia="Times New Roman" w:hAnsi="Arial" w:cs="Arial"/>
          <w:b/>
          <w:bCs/>
          <w:color w:val="222222"/>
          <w:sz w:val="24"/>
          <w:szCs w:val="24"/>
          <w:lang w:eastAsia="es-MX"/>
        </w:rPr>
      </w:pPr>
      <w:r w:rsidRPr="007A7568">
        <w:rPr>
          <w:rFonts w:ascii="Arial" w:eastAsia="Times New Roman" w:hAnsi="Arial" w:cs="Arial"/>
          <w:bCs/>
          <w:color w:val="222222"/>
          <w:sz w:val="24"/>
          <w:szCs w:val="24"/>
          <w:lang w:eastAsia="es-MX"/>
        </w:rPr>
        <w:t>Política Sectorial (CONTRUCCIÓN</w:t>
      </w:r>
      <w:r w:rsidRPr="007A7568">
        <w:rPr>
          <w:rFonts w:ascii="Arial" w:eastAsia="Times New Roman" w:hAnsi="Arial" w:cs="Arial"/>
          <w:b/>
          <w:bCs/>
          <w:color w:val="222222"/>
          <w:sz w:val="24"/>
          <w:szCs w:val="24"/>
          <w:lang w:eastAsia="es-MX"/>
        </w:rPr>
        <w:t>)</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ind w:right="600"/>
        <w:jc w:val="both"/>
        <w:rPr>
          <w:rFonts w:ascii="Arial" w:eastAsia="Times New Roman" w:hAnsi="Arial" w:cs="Arial"/>
          <w:color w:val="555555"/>
          <w:lang w:eastAsia="es-MX"/>
        </w:rPr>
      </w:pPr>
      <w:r w:rsidRPr="007A7568">
        <w:rPr>
          <w:rFonts w:ascii="Arial" w:eastAsia="Times New Roman" w:hAnsi="Arial" w:cs="Arial"/>
          <w:color w:val="555555"/>
          <w:lang w:eastAsia="es-MX"/>
        </w:rPr>
        <w:t>Acceder a nuevas tecnologías para elevar la eficiencia en las construcciones, incrementar la producción de materiales, piezas de repuesto, así como recuperar y completar plantas de reparaciones generales. Promover la construcción de obras de infraestructura y mantenimiento industrial, fundamentalmente para las industrias de níquel, petróleo y cemento, así como para el diseño y construcción de hoteles para el turismo y complejos inmobiliarios asociados a campos de golf. Potenciar proyectos destinados a la generación de bienes y servicios exportables.</w:t>
      </w:r>
    </w:p>
    <w:p w:rsidR="007A7568" w:rsidRPr="007A7568" w:rsidRDefault="007A7568" w:rsidP="007A7568">
      <w:pPr>
        <w:shd w:val="clear" w:color="auto" w:fill="FFFFFF"/>
        <w:spacing w:after="0" w:line="240" w:lineRule="auto"/>
        <w:ind w:right="600"/>
        <w:jc w:val="both"/>
        <w:rPr>
          <w:rFonts w:ascii="Arial" w:eastAsia="Times New Roman" w:hAnsi="Arial" w:cs="Arial"/>
          <w:color w:val="555555"/>
          <w:sz w:val="12"/>
          <w:szCs w:val="12"/>
          <w:lang w:eastAsia="es-MX"/>
        </w:rPr>
      </w:pPr>
    </w:p>
    <w:p w:rsidR="00222930" w:rsidRPr="007A7568" w:rsidRDefault="00222930" w:rsidP="007A7568">
      <w:pPr>
        <w:numPr>
          <w:ilvl w:val="0"/>
          <w:numId w:val="5"/>
        </w:numPr>
        <w:shd w:val="clear" w:color="auto" w:fill="FFFFFF"/>
        <w:spacing w:after="0" w:line="240" w:lineRule="auto"/>
        <w:ind w:left="0"/>
        <w:jc w:val="center"/>
        <w:outlineLvl w:val="3"/>
        <w:rPr>
          <w:rFonts w:ascii="Arial" w:eastAsia="Times New Roman" w:hAnsi="Arial" w:cs="Arial"/>
          <w:color w:val="222222"/>
          <w:sz w:val="24"/>
          <w:szCs w:val="24"/>
          <w:lang w:eastAsia="es-MX"/>
        </w:rPr>
      </w:pPr>
      <w:r w:rsidRPr="007A7568">
        <w:rPr>
          <w:rFonts w:ascii="Arial" w:eastAsia="Times New Roman" w:hAnsi="Arial" w:cs="Arial"/>
          <w:bCs/>
          <w:color w:val="222222"/>
          <w:sz w:val="24"/>
          <w:szCs w:val="24"/>
          <w:lang w:eastAsia="es-MX"/>
        </w:rPr>
        <w:t>Información sectorial</w:t>
      </w:r>
    </w:p>
    <w:p w:rsidR="007A7568" w:rsidRPr="007A7568" w:rsidRDefault="007A7568" w:rsidP="007A7568">
      <w:pPr>
        <w:shd w:val="clear" w:color="auto" w:fill="FFFFFF"/>
        <w:spacing w:after="0" w:line="240" w:lineRule="auto"/>
        <w:jc w:val="both"/>
        <w:outlineLvl w:val="3"/>
        <w:rPr>
          <w:rFonts w:ascii="Arial" w:eastAsia="Times New Roman" w:hAnsi="Arial" w:cs="Arial"/>
          <w:color w:val="222222"/>
          <w:sz w:val="12"/>
          <w:szCs w:val="12"/>
          <w:lang w:eastAsia="es-MX"/>
        </w:rPr>
      </w:pPr>
    </w:p>
    <w:p w:rsidR="00222930" w:rsidRPr="007A7568" w:rsidRDefault="00222930" w:rsidP="007A7568">
      <w:pPr>
        <w:shd w:val="clear" w:color="auto" w:fill="FFFFFF"/>
        <w:spacing w:after="0" w:line="240" w:lineRule="auto"/>
        <w:ind w:right="600"/>
        <w:jc w:val="both"/>
        <w:rPr>
          <w:rFonts w:ascii="Arial" w:eastAsia="Times New Roman" w:hAnsi="Arial" w:cs="Arial"/>
          <w:color w:val="555555"/>
          <w:lang w:eastAsia="es-MX"/>
        </w:rPr>
      </w:pPr>
      <w:r w:rsidRPr="007A7568">
        <w:rPr>
          <w:rFonts w:ascii="Arial" w:eastAsia="Times New Roman" w:hAnsi="Arial" w:cs="Arial"/>
          <w:color w:val="555555"/>
          <w:lang w:eastAsia="es-MX"/>
        </w:rPr>
        <w:t>El sector de la construcción abarca, entre otras actividades, las investigaciones ingeniero-geológicas aplicadas a la construcción, la elaboración de diseños para las actividades de construcción y montaje, la construcción de las obras civiles, industriales, de ingeniería, atraques y dragados, así como la producción y comercialización de materiales y productos de la construcción.</w:t>
      </w:r>
    </w:p>
    <w:p w:rsidR="00222930" w:rsidRPr="007A7568" w:rsidRDefault="00222930" w:rsidP="007A7568">
      <w:pPr>
        <w:shd w:val="clear" w:color="auto" w:fill="FFFFFF"/>
        <w:spacing w:after="0" w:line="240" w:lineRule="auto"/>
        <w:ind w:right="600"/>
        <w:jc w:val="both"/>
        <w:rPr>
          <w:rFonts w:ascii="Arial" w:eastAsia="Times New Roman" w:hAnsi="Arial" w:cs="Arial"/>
          <w:color w:val="555555"/>
          <w:sz w:val="24"/>
          <w:szCs w:val="24"/>
          <w:lang w:eastAsia="es-MX"/>
        </w:rPr>
      </w:pPr>
    </w:p>
    <w:p w:rsidR="00222930" w:rsidRPr="007A7568" w:rsidRDefault="00222930" w:rsidP="007A7568">
      <w:pPr>
        <w:shd w:val="clear" w:color="auto" w:fill="FFFFFF"/>
        <w:spacing w:after="0" w:line="240" w:lineRule="auto"/>
        <w:ind w:right="600"/>
        <w:jc w:val="both"/>
        <w:rPr>
          <w:rFonts w:ascii="Arial" w:eastAsia="Times New Roman" w:hAnsi="Arial" w:cs="Arial"/>
          <w:color w:val="555555"/>
          <w:sz w:val="24"/>
          <w:szCs w:val="24"/>
          <w:lang w:eastAsia="es-MX"/>
        </w:rPr>
      </w:pPr>
    </w:p>
    <w:p w:rsidR="00E66538" w:rsidRPr="007A7568" w:rsidRDefault="00E66538" w:rsidP="007A7568">
      <w:pPr>
        <w:spacing w:after="0"/>
        <w:rPr>
          <w:rFonts w:ascii="Arial" w:hAnsi="Arial" w:cs="Arial"/>
          <w:sz w:val="24"/>
          <w:szCs w:val="24"/>
        </w:rPr>
      </w:pPr>
    </w:p>
    <w:sectPr w:rsidR="00E66538" w:rsidRPr="007A7568" w:rsidSect="007A7568">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5E18" w:rsidRDefault="00A45E18" w:rsidP="00222930">
      <w:pPr>
        <w:spacing w:after="0" w:line="240" w:lineRule="auto"/>
      </w:pPr>
      <w:r>
        <w:separator/>
      </w:r>
    </w:p>
  </w:endnote>
  <w:endnote w:type="continuationSeparator" w:id="0">
    <w:p w:rsidR="00A45E18" w:rsidRDefault="00A45E18" w:rsidP="00222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5E18" w:rsidRDefault="00A45E18" w:rsidP="00222930">
      <w:pPr>
        <w:spacing w:after="0" w:line="240" w:lineRule="auto"/>
      </w:pPr>
      <w:r>
        <w:separator/>
      </w:r>
    </w:p>
  </w:footnote>
  <w:footnote w:type="continuationSeparator" w:id="0">
    <w:p w:rsidR="00A45E18" w:rsidRDefault="00A45E18" w:rsidP="002229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E33E7"/>
    <w:multiLevelType w:val="multilevel"/>
    <w:tmpl w:val="E5D4A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466F2F"/>
    <w:multiLevelType w:val="multilevel"/>
    <w:tmpl w:val="56B03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712CE3"/>
    <w:multiLevelType w:val="multilevel"/>
    <w:tmpl w:val="79FAE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781BE2"/>
    <w:multiLevelType w:val="multilevel"/>
    <w:tmpl w:val="DE22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950F9B"/>
    <w:multiLevelType w:val="multilevel"/>
    <w:tmpl w:val="9C8AEA1A"/>
    <w:lvl w:ilvl="0">
      <w:start w:val="1"/>
      <w:numFmt w:val="bullet"/>
      <w:lvlText w:val=""/>
      <w:lvlJc w:val="left"/>
      <w:pPr>
        <w:tabs>
          <w:tab w:val="num" w:pos="8015"/>
        </w:tabs>
        <w:ind w:left="8015" w:hanging="360"/>
      </w:pPr>
      <w:rPr>
        <w:rFonts w:ascii="Symbol" w:hAnsi="Symbol" w:hint="default"/>
        <w:sz w:val="20"/>
      </w:rPr>
    </w:lvl>
    <w:lvl w:ilvl="1" w:tentative="1">
      <w:start w:val="1"/>
      <w:numFmt w:val="bullet"/>
      <w:lvlText w:val="o"/>
      <w:lvlJc w:val="left"/>
      <w:pPr>
        <w:tabs>
          <w:tab w:val="num" w:pos="8735"/>
        </w:tabs>
        <w:ind w:left="8735" w:hanging="360"/>
      </w:pPr>
      <w:rPr>
        <w:rFonts w:ascii="Courier New" w:hAnsi="Courier New" w:hint="default"/>
        <w:sz w:val="20"/>
      </w:rPr>
    </w:lvl>
    <w:lvl w:ilvl="2" w:tentative="1">
      <w:start w:val="1"/>
      <w:numFmt w:val="bullet"/>
      <w:lvlText w:val=""/>
      <w:lvlJc w:val="left"/>
      <w:pPr>
        <w:tabs>
          <w:tab w:val="num" w:pos="9455"/>
        </w:tabs>
        <w:ind w:left="9455" w:hanging="360"/>
      </w:pPr>
      <w:rPr>
        <w:rFonts w:ascii="Wingdings" w:hAnsi="Wingdings" w:hint="default"/>
        <w:sz w:val="20"/>
      </w:rPr>
    </w:lvl>
    <w:lvl w:ilvl="3" w:tentative="1">
      <w:start w:val="1"/>
      <w:numFmt w:val="bullet"/>
      <w:lvlText w:val=""/>
      <w:lvlJc w:val="left"/>
      <w:pPr>
        <w:tabs>
          <w:tab w:val="num" w:pos="10175"/>
        </w:tabs>
        <w:ind w:left="10175" w:hanging="360"/>
      </w:pPr>
      <w:rPr>
        <w:rFonts w:ascii="Wingdings" w:hAnsi="Wingdings" w:hint="default"/>
        <w:sz w:val="20"/>
      </w:rPr>
    </w:lvl>
    <w:lvl w:ilvl="4" w:tentative="1">
      <w:start w:val="1"/>
      <w:numFmt w:val="bullet"/>
      <w:lvlText w:val=""/>
      <w:lvlJc w:val="left"/>
      <w:pPr>
        <w:tabs>
          <w:tab w:val="num" w:pos="10895"/>
        </w:tabs>
        <w:ind w:left="10895" w:hanging="360"/>
      </w:pPr>
      <w:rPr>
        <w:rFonts w:ascii="Wingdings" w:hAnsi="Wingdings" w:hint="default"/>
        <w:sz w:val="20"/>
      </w:rPr>
    </w:lvl>
    <w:lvl w:ilvl="5" w:tentative="1">
      <w:start w:val="1"/>
      <w:numFmt w:val="bullet"/>
      <w:lvlText w:val=""/>
      <w:lvlJc w:val="left"/>
      <w:pPr>
        <w:tabs>
          <w:tab w:val="num" w:pos="11615"/>
        </w:tabs>
        <w:ind w:left="11615" w:hanging="360"/>
      </w:pPr>
      <w:rPr>
        <w:rFonts w:ascii="Wingdings" w:hAnsi="Wingdings" w:hint="default"/>
        <w:sz w:val="20"/>
      </w:rPr>
    </w:lvl>
    <w:lvl w:ilvl="6" w:tentative="1">
      <w:start w:val="1"/>
      <w:numFmt w:val="bullet"/>
      <w:lvlText w:val=""/>
      <w:lvlJc w:val="left"/>
      <w:pPr>
        <w:tabs>
          <w:tab w:val="num" w:pos="12335"/>
        </w:tabs>
        <w:ind w:left="12335" w:hanging="360"/>
      </w:pPr>
      <w:rPr>
        <w:rFonts w:ascii="Wingdings" w:hAnsi="Wingdings" w:hint="default"/>
        <w:sz w:val="20"/>
      </w:rPr>
    </w:lvl>
    <w:lvl w:ilvl="7" w:tentative="1">
      <w:start w:val="1"/>
      <w:numFmt w:val="bullet"/>
      <w:lvlText w:val=""/>
      <w:lvlJc w:val="left"/>
      <w:pPr>
        <w:tabs>
          <w:tab w:val="num" w:pos="13055"/>
        </w:tabs>
        <w:ind w:left="13055" w:hanging="360"/>
      </w:pPr>
      <w:rPr>
        <w:rFonts w:ascii="Wingdings" w:hAnsi="Wingdings" w:hint="default"/>
        <w:sz w:val="20"/>
      </w:rPr>
    </w:lvl>
    <w:lvl w:ilvl="8" w:tentative="1">
      <w:start w:val="1"/>
      <w:numFmt w:val="bullet"/>
      <w:lvlText w:val=""/>
      <w:lvlJc w:val="left"/>
      <w:pPr>
        <w:tabs>
          <w:tab w:val="num" w:pos="13775"/>
        </w:tabs>
        <w:ind w:left="13775" w:hanging="360"/>
      </w:pPr>
      <w:rPr>
        <w:rFonts w:ascii="Wingdings" w:hAnsi="Wingdings" w:hint="default"/>
        <w:sz w:val="20"/>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930"/>
    <w:rsid w:val="00222930"/>
    <w:rsid w:val="005D6130"/>
    <w:rsid w:val="0063434A"/>
    <w:rsid w:val="007A7568"/>
    <w:rsid w:val="00A45E18"/>
    <w:rsid w:val="00E665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C033"/>
  <w15:chartTrackingRefBased/>
  <w15:docId w15:val="{1D46C9B7-2ACE-4ED7-918A-144F44267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93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22930"/>
  </w:style>
  <w:style w:type="paragraph" w:styleId="Piedepgina">
    <w:name w:val="footer"/>
    <w:basedOn w:val="Normal"/>
    <w:link w:val="PiedepginaCar"/>
    <w:uiPriority w:val="99"/>
    <w:unhideWhenUsed/>
    <w:rsid w:val="0022293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22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192920">
      <w:bodyDiv w:val="1"/>
      <w:marLeft w:val="0"/>
      <w:marRight w:val="0"/>
      <w:marTop w:val="0"/>
      <w:marBottom w:val="0"/>
      <w:divBdr>
        <w:top w:val="none" w:sz="0" w:space="0" w:color="auto"/>
        <w:left w:val="none" w:sz="0" w:space="0" w:color="auto"/>
        <w:bottom w:val="none" w:sz="0" w:space="0" w:color="auto"/>
        <w:right w:val="none" w:sz="0" w:space="0" w:color="auto"/>
      </w:divBdr>
    </w:div>
    <w:div w:id="537863971">
      <w:bodyDiv w:val="1"/>
      <w:marLeft w:val="0"/>
      <w:marRight w:val="0"/>
      <w:marTop w:val="0"/>
      <w:marBottom w:val="0"/>
      <w:divBdr>
        <w:top w:val="none" w:sz="0" w:space="0" w:color="auto"/>
        <w:left w:val="none" w:sz="0" w:space="0" w:color="auto"/>
        <w:bottom w:val="none" w:sz="0" w:space="0" w:color="auto"/>
        <w:right w:val="none" w:sz="0" w:space="0" w:color="auto"/>
      </w:divBdr>
      <w:divsChild>
        <w:div w:id="1316296261">
          <w:marLeft w:val="0"/>
          <w:marRight w:val="0"/>
          <w:marTop w:val="0"/>
          <w:marBottom w:val="0"/>
          <w:divBdr>
            <w:top w:val="none" w:sz="0" w:space="0" w:color="auto"/>
            <w:left w:val="none" w:sz="0" w:space="0" w:color="auto"/>
            <w:bottom w:val="none" w:sz="0" w:space="0" w:color="auto"/>
            <w:right w:val="none" w:sz="0" w:space="0" w:color="auto"/>
          </w:divBdr>
        </w:div>
        <w:div w:id="1256472227">
          <w:marLeft w:val="1463"/>
          <w:marRight w:val="0"/>
          <w:marTop w:val="0"/>
          <w:marBottom w:val="0"/>
          <w:divBdr>
            <w:top w:val="none" w:sz="0" w:space="0" w:color="auto"/>
            <w:left w:val="none" w:sz="0" w:space="0" w:color="auto"/>
            <w:bottom w:val="none" w:sz="0" w:space="0" w:color="auto"/>
            <w:right w:val="none" w:sz="0" w:space="0" w:color="auto"/>
          </w:divBdr>
        </w:div>
      </w:divsChild>
    </w:div>
    <w:div w:id="754084698">
      <w:bodyDiv w:val="1"/>
      <w:marLeft w:val="0"/>
      <w:marRight w:val="0"/>
      <w:marTop w:val="0"/>
      <w:marBottom w:val="0"/>
      <w:divBdr>
        <w:top w:val="none" w:sz="0" w:space="0" w:color="auto"/>
        <w:left w:val="none" w:sz="0" w:space="0" w:color="auto"/>
        <w:bottom w:val="none" w:sz="0" w:space="0" w:color="auto"/>
        <w:right w:val="none" w:sz="0" w:space="0" w:color="auto"/>
      </w:divBdr>
    </w:div>
    <w:div w:id="883057134">
      <w:bodyDiv w:val="1"/>
      <w:marLeft w:val="0"/>
      <w:marRight w:val="0"/>
      <w:marTop w:val="0"/>
      <w:marBottom w:val="0"/>
      <w:divBdr>
        <w:top w:val="none" w:sz="0" w:space="0" w:color="auto"/>
        <w:left w:val="none" w:sz="0" w:space="0" w:color="auto"/>
        <w:bottom w:val="none" w:sz="0" w:space="0" w:color="auto"/>
        <w:right w:val="none" w:sz="0" w:space="0" w:color="auto"/>
      </w:divBdr>
    </w:div>
    <w:div w:id="1084105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2042</Words>
  <Characters>11237</Characters>
  <Application>Microsoft Office Word</Application>
  <DocSecurity>4</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EGDP</Company>
  <LinksUpToDate>false</LinksUpToDate>
  <CharactersWithSpaces>13253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Maité Núñez Escalona</dc:creator>
  <cp:keywords/>
  <dc:description/>
  <cp:lastModifiedBy>Margarita</cp:lastModifiedBy>
  <cp:revision>2</cp:revision>
  <dcterms:created xsi:type="dcterms:W3CDTF">2024-03-12T20:20:00Z</dcterms:created>
  <dcterms:modified xsi:type="dcterms:W3CDTF">2024-03-12T20:20:00Z</dcterms:modified>
</cp:coreProperties>
</file>